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Gap Analysis — Acme Inc</w:t>
      </w:r>
    </w:p>
    <w:p>
      <w:pPr>
        <w:ind w:left="720"/>
      </w:pPr>
      <w:r>
        <w:rPr>
          <w:i/>
          <w:color w:val="666666"/>
        </w:rPr>
        <w:t xml:space="preserve">Auto-generated by Codepliant on 2026-03-19.</w:t>
      </w:r>
    </w:p>
    <w:p>
      <w:pPr>
        <w:ind w:left="720"/>
      </w:pPr>
      <w:r>
        <w:rPr>
          <w:i/>
          <w:color w:val="666666"/>
        </w:rPr>
        <w:t xml:space="preserve">Compares current compliance state (from code analysis) against regulatory target state.</w:t>
      </w:r>
    </w:p>
    <w:p>
      <w:pPr>
        <w:ind w:left="720"/>
      </w:pPr>
      <w:r>
        <w:rPr>
          <w:i/>
          <w:color w:val="666666"/>
        </w:rPr>
        <w:t xml:space="preserve">This analysis should be validated by qualified legal and compliance professionals.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Style w:val="Heading2"/>
      </w:pPr>
      <w:r>
        <w:t>Executive Summary</w:t>
      </w:r>
    </w:p>
    <w:p>
      <w:r>
        <w:rPr>
          <w:sz w:val="20"/>
        </w:rPr>
        <w:t xml:space="preserve">Metric  |  Value</w:t>
      </w:r>
    </w:p>
    <w:p>
      <w:r>
        <w:rPr>
          <w:sz w:val="20"/>
        </w:rPr>
        <w:t xml:space="preserve">Total Gaps Identified  |  **6**</w:t>
      </w:r>
    </w:p>
    <w:p>
      <w:r>
        <w:rPr>
          <w:sz w:val="20"/>
        </w:rPr>
        <w:t xml:space="preserve">Critical Gaps  |  **2**</w:t>
      </w:r>
    </w:p>
    <w:p>
      <w:r>
        <w:rPr>
          <w:sz w:val="20"/>
        </w:rPr>
        <w:t xml:space="preserve">High Priority Gaps  |  **3**</w:t>
      </w:r>
    </w:p>
    <w:p>
      <w:r>
        <w:rPr>
          <w:sz w:val="20"/>
        </w:rPr>
        <w:t xml:space="preserve">Medium Priority Gaps  |  **1**</w:t>
      </w:r>
    </w:p>
    <w:p>
      <w:r>
        <w:rPr>
          <w:sz w:val="20"/>
        </w:rPr>
        <w:t xml:space="preserve">Services Analyzed  |  8</w:t>
      </w:r>
    </w:p>
    <w:p>
      <w:r>
        <w:rPr>
          <w:sz w:val="20"/>
        </w:rPr>
        <w:t xml:space="preserve">Regulations Covered  |  EU AI Act, PCI DSS, ePrivacy, SOC 2</w:t>
      </w:r>
    </w:p>
    <w:p>
      <w:pPr>
        <w:pStyle w:val="Heading2"/>
      </w:pPr>
      <w:r>
        <w:t>Gap Analysis Table</w:t>
      </w:r>
    </w:p>
    <w:p>
      <w:r>
        <w:rPr>
          <w:sz w:val="20"/>
        </w:rPr>
        <w:t xml:space="preserve">Requirement  |  Current State  |  Target State  |  Gap  |  Priority  |  Effort</w:t>
      </w:r>
    </w:p>
    <w:p>
      <w:r>
        <w:rPr>
          <w:sz w:val="20"/>
        </w:rPr>
        <w:t xml:space="preserve">AI System Transparency (Art. 50)  |  AI disclosure and model card generated  |  AI usage disclosed in product UI; users informed before AI interaction  |  Add in-product AI disclosure; link to model card from UI  |  🔴 Critical  |  Low</w:t>
      </w:r>
    </w:p>
    <w:p>
      <w:r>
        <w:rPr>
          <w:sz w:val="20"/>
        </w:rPr>
        <w:t xml:space="preserve">PCI DSS Compliance  |  Payment processors detected via code scan  |  PCI DSS SAQ completed; tokenization verified; no raw card data stored  |  Complete PCI DSS Self-Assessment Questionnaire; verify tokenization implementation  |  🔴 Critical  |  High</w:t>
      </w:r>
    </w:p>
    <w:p>
      <w:r>
        <w:rPr>
          <w:sz w:val="20"/>
        </w:rPr>
        <w:t xml:space="preserve">AI Risk Classification  |  Risk level set to: limited  |  All AI systems classified; high-risk systems registered in EU database  |  Document classification rationale; register if high-risk  |  🟠 High  |  Medium</w:t>
      </w:r>
    </w:p>
    <w:p>
      <w:r>
        <w:rPr>
          <w:sz w:val="20"/>
        </w:rPr>
        <w:t xml:space="preserve">Human Oversight (Art. 14)  |  AI governance framework generated  |  Human oversight mechanisms implemented; override capabilities documented  |  Implement human review workflow for AI decisions; document override procedures  |  🟠 High  |  High</w:t>
      </w:r>
    </w:p>
    <w:p>
      <w:r>
        <w:rPr>
          <w:sz w:val="20"/>
        </w:rPr>
        <w:t xml:space="preserve">Cookie Consent (ePrivacy Directive)  |  Cookie inventory generated; analytics services detected  |  Cookie banner deployed; consent recorded; non-essential cookies blocked until consent  |  Deploy CMP with granular cookie categories; implement server-side consent enforcement  |  🟠 High  |  Medium</w:t>
      </w:r>
    </w:p>
    <w:p>
      <w:r>
        <w:rPr>
          <w:sz w:val="20"/>
        </w:rPr>
        <w:t xml:space="preserve">SOC 2 Type II Audit Readiness  |  Security and access control policies generated  |  SOC 2 Type II audit completed; evidence collection automated  |  Map controls to Trust Service Criteria; begin 6-month evidence collection period  |  🟡 Medium  |  High</w:t>
      </w:r>
    </w:p>
    <w:p>
      <w:pPr>
        <w:pStyle w:val="Heading2"/>
      </w:pPr>
      <w:r>
        <w:t>Per-Regulation Breakdown</w:t>
      </w:r>
    </w:p>
    <w:p>
      <w:pPr>
        <w:pStyle w:val="Heading3"/>
      </w:pPr>
      <w:r>
        <w:t>EU AI Act</w:t>
      </w:r>
    </w:p>
    <w:p>
      <w:r>
        <w:t xml:space="preserve">3 gaps identified (1 critical, 2 high)</w:t>
      </w:r>
    </w:p>
    <w:p>
      <w:pPr>
        <w:pStyle w:val="ListParagraph"/>
        <w:numPr>
          <w:ilvl w:val="0"/>
          <w:numId w:val="1"/>
        </w:numPr>
      </w:pPr>
      <w:r>
        <w:t xml:space="preserve">🔴 **AI System Transparency (Art. 50)**: Add in-product AI disclosure; link to model card from UI *(Effort: Low)*</w:t>
      </w:r>
    </w:p>
    <w:p>
      <w:pPr>
        <w:pStyle w:val="ListParagraph"/>
        <w:numPr>
          <w:ilvl w:val="0"/>
          <w:numId w:val="1"/>
        </w:numPr>
      </w:pPr>
      <w:r>
        <w:t xml:space="preserve">🟠 **AI Risk Classification**: Document classification rationale; register if high-risk *(Effort: Medium)*</w:t>
      </w:r>
    </w:p>
    <w:p>
      <w:pPr>
        <w:pStyle w:val="ListParagraph"/>
        <w:numPr>
          <w:ilvl w:val="0"/>
          <w:numId w:val="1"/>
        </w:numPr>
      </w:pPr>
      <w:r>
        <w:t xml:space="preserve">🟠 **Human Oversight (Art. 14)**: Implement human review workflow for AI decisions; document override procedures *(Effort: High)*</w:t>
      </w:r>
    </w:p>
    <w:p>
      <w:pPr>
        <w:pStyle w:val="Heading3"/>
      </w:pPr>
      <w:r>
        <w:t>PCI DSS</w:t>
      </w:r>
    </w:p>
    <w:p>
      <w:r>
        <w:t xml:space="preserve">1 gaps identified (1 critical, 0 high)</w:t>
      </w:r>
    </w:p>
    <w:p>
      <w:pPr>
        <w:pStyle w:val="ListParagraph"/>
        <w:numPr>
          <w:ilvl w:val="0"/>
          <w:numId w:val="1"/>
        </w:numPr>
      </w:pPr>
      <w:r>
        <w:t xml:space="preserve">🔴 **PCI DSS Compliance**: Complete PCI DSS Self-Assessment Questionnaire; verify tokenization implementation *(Effort: High)*</w:t>
      </w:r>
    </w:p>
    <w:p>
      <w:pPr>
        <w:pStyle w:val="Heading3"/>
      </w:pPr>
      <w:r>
        <w:t>ePrivacy</w:t>
      </w:r>
    </w:p>
    <w:p>
      <w:r>
        <w:t xml:space="preserve">1 gaps identified (0 critical, 1 high)</w:t>
      </w:r>
    </w:p>
    <w:p>
      <w:pPr>
        <w:pStyle w:val="ListParagraph"/>
        <w:numPr>
          <w:ilvl w:val="0"/>
          <w:numId w:val="1"/>
        </w:numPr>
      </w:pPr>
      <w:r>
        <w:t xml:space="preserve">🟠 **Cookie Consent (ePrivacy Directive)**: Deploy CMP with granular cookie categories; implement server-side consent enforcement *(Effort: Medium)*</w:t>
      </w:r>
    </w:p>
    <w:p>
      <w:pPr>
        <w:pStyle w:val="Heading3"/>
      </w:pPr>
      <w:r>
        <w:t>SOC 2</w:t>
      </w:r>
    </w:p>
    <w:p>
      <w:r>
        <w:t xml:space="preserve">1 gaps identified (0 critical, 0 high)</w:t>
      </w:r>
    </w:p>
    <w:p>
      <w:pPr>
        <w:pStyle w:val="ListParagraph"/>
        <w:numPr>
          <w:ilvl w:val="0"/>
          <w:numId w:val="1"/>
        </w:numPr>
      </w:pPr>
      <w:r>
        <w:t xml:space="preserve">🟡 **SOC 2 Type II Audit Readiness**: Map controls to Trust Service Criteria; begin 6-month evidence collection period *(Effort: High)*</w:t>
      </w:r>
    </w:p>
    <w:p>
      <w:pPr>
        <w:pStyle w:val="Heading2"/>
      </w:pPr>
      <w:r>
        <w:t>Remediation Roadmap</w:t>
      </w:r>
    </w:p>
    <w:p>
      <w:pPr>
        <w:pStyle w:val="Heading3"/>
      </w:pPr>
      <w:r>
        <w:t>Immediate (Week 1) — Critical Gaps</w:t>
      </w:r>
    </w:p>
    <w:p>
      <w:pPr>
        <w:pStyle w:val="ListParagraph"/>
        <w:numPr>
          <w:ilvl w:val="0"/>
          <w:numId w:val="1"/>
        </w:numPr>
      </w:pPr>
      <w:r>
        <w:t xml:space="preserve">[ ] **AI System Transparency (Art. 50)** (EU AI Act): Add in-product AI disclosure; link to model card from UI</w:t>
      </w:r>
    </w:p>
    <w:p>
      <w:pPr>
        <w:pStyle w:val="ListParagraph"/>
        <w:numPr>
          <w:ilvl w:val="0"/>
          <w:numId w:val="1"/>
        </w:numPr>
      </w:pPr>
      <w:r>
        <w:t xml:space="preserve">[ ] **PCI DSS Compliance** (PCI DSS): Complete PCI DSS Self-Assessment Questionnaire; verify tokenization implementation</w:t>
      </w:r>
    </w:p>
    <w:p>
      <w:pPr>
        <w:pStyle w:val="Heading3"/>
      </w:pPr>
      <w:r>
        <w:t>Short-term (Weeks 2-4) — High Priority Gaps</w:t>
      </w:r>
    </w:p>
    <w:p>
      <w:pPr>
        <w:pStyle w:val="ListParagraph"/>
        <w:numPr>
          <w:ilvl w:val="0"/>
          <w:numId w:val="1"/>
        </w:numPr>
      </w:pPr>
      <w:r>
        <w:t xml:space="preserve">[ ] **AI Risk Classification** (EU AI Act): Document classification rationale; register if high-risk</w:t>
      </w:r>
    </w:p>
    <w:p>
      <w:pPr>
        <w:pStyle w:val="ListParagraph"/>
        <w:numPr>
          <w:ilvl w:val="0"/>
          <w:numId w:val="1"/>
        </w:numPr>
      </w:pPr>
      <w:r>
        <w:t xml:space="preserve">[ ] **Human Oversight (Art. 14)** (EU AI Act): Implement human review workflow for AI decisions; document override procedures</w:t>
      </w:r>
    </w:p>
    <w:p>
      <w:pPr>
        <w:pStyle w:val="ListParagraph"/>
        <w:numPr>
          <w:ilvl w:val="0"/>
          <w:numId w:val="1"/>
        </w:numPr>
      </w:pPr>
      <w:r>
        <w:t xml:space="preserve">[ ] **Cookie Consent (ePrivacy Directive)** (ePrivacy): Deploy CMP with granular cookie categories; implement server-side consent enforcement</w:t>
      </w:r>
    </w:p>
    <w:p>
      <w:pPr>
        <w:pStyle w:val="Heading3"/>
      </w:pPr>
      <w:r>
        <w:t>Medium-term (Months 2-3) — Medium Priority Gaps</w:t>
      </w:r>
    </w:p>
    <w:p>
      <w:pPr>
        <w:pStyle w:val="ListParagraph"/>
        <w:numPr>
          <w:ilvl w:val="0"/>
          <w:numId w:val="1"/>
        </w:numPr>
      </w:pPr>
      <w:r>
        <w:t xml:space="preserve">[ ] **SOC 2 Type II Audit Readiness** (SOC 2): Map controls to Trust Service Criteria; begin 6-month evidence collection period</w:t>
      </w:r>
    </w:p>
    <w:p>
      <w:pPr>
        <w:pBdr>
          <w:bottom w:val="single" w:sz="6" w:space="1" w:color="999999"/>
        </w:pBdr>
      </w:pPr>
    </w:p>
    <w:p>
      <w:r>
        <w:t xml:space="preserve">This gap analysis is generated from automated code analysis and regulatory checklists. It does not constitute legal advice. Have this document reviewed by a qualified compliance professional before acting on it.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